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97" w:rsidRDefault="004773E0" w:rsidP="004773E0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國立屏東科技大學校務基金預算審核與執行原則</w:t>
      </w:r>
    </w:p>
    <w:p w:rsidR="004773E0" w:rsidRDefault="004773E0" w:rsidP="004773E0">
      <w:pPr>
        <w:snapToGrid w:val="0"/>
        <w:spacing w:before="240" w:line="300" w:lineRule="exact"/>
        <w:jc w:val="right"/>
        <w:rPr>
          <w:rFonts w:eastAsia="標楷體"/>
          <w:bCs/>
          <w:sz w:val="32"/>
          <w:szCs w:val="32"/>
        </w:rPr>
      </w:pPr>
      <w:r>
        <w:rPr>
          <w:rFonts w:eastAsia="標楷體"/>
          <w:sz w:val="18"/>
          <w:szCs w:val="18"/>
        </w:rPr>
        <w:t xml:space="preserve">105.12.23 </w:t>
      </w:r>
      <w:proofErr w:type="gramStart"/>
      <w:r>
        <w:rPr>
          <w:rFonts w:eastAsia="標楷體"/>
          <w:sz w:val="18"/>
          <w:szCs w:val="18"/>
        </w:rPr>
        <w:t>105</w:t>
      </w:r>
      <w:proofErr w:type="gramEnd"/>
      <w:r>
        <w:rPr>
          <w:rFonts w:eastAsia="標楷體" w:hint="eastAsia"/>
          <w:sz w:val="18"/>
          <w:szCs w:val="18"/>
        </w:rPr>
        <w:t>年度第</w:t>
      </w:r>
      <w:r>
        <w:rPr>
          <w:rFonts w:eastAsia="標楷體"/>
          <w:sz w:val="18"/>
          <w:szCs w:val="18"/>
        </w:rPr>
        <w:t>4</w:t>
      </w:r>
      <w:r>
        <w:rPr>
          <w:rFonts w:eastAsia="標楷體" w:hint="eastAsia"/>
          <w:sz w:val="18"/>
          <w:szCs w:val="18"/>
        </w:rPr>
        <w:t>次校務基金管理委員會通過</w:t>
      </w:r>
    </w:p>
    <w:p w:rsidR="004773E0" w:rsidRDefault="004773E0" w:rsidP="004773E0">
      <w:pPr>
        <w:spacing w:line="300" w:lineRule="exact"/>
        <w:jc w:val="right"/>
        <w:rPr>
          <w:rFonts w:eastAsia="標楷體"/>
          <w:sz w:val="18"/>
        </w:rPr>
      </w:pPr>
      <w:r>
        <w:rPr>
          <w:rFonts w:eastAsia="標楷體"/>
          <w:sz w:val="18"/>
        </w:rPr>
        <w:t xml:space="preserve">                            </w:t>
      </w:r>
    </w:p>
    <w:p w:rsidR="004773E0" w:rsidRDefault="004773E0" w:rsidP="004773E0">
      <w:pPr>
        <w:adjustRightInd w:val="0"/>
        <w:snapToGrid w:val="0"/>
        <w:spacing w:afterLines="50" w:after="180" w:line="300" w:lineRule="exact"/>
        <w:ind w:left="461" w:hangingChars="192" w:hanging="461"/>
        <w:rPr>
          <w:rFonts w:eastAsia="標楷體"/>
          <w:noProof/>
          <w:szCs w:val="24"/>
        </w:rPr>
      </w:pPr>
      <w:r>
        <w:rPr>
          <w:rFonts w:eastAsia="標楷體" w:hint="eastAsia"/>
          <w:noProof/>
        </w:rPr>
        <w:t>一、為使本校校務基金年度預算分配，能臻於公平、公正、公開，使有限財源發揮預期效益，特訂定本</w:t>
      </w:r>
      <w:r>
        <w:rPr>
          <w:rFonts w:eastAsia="標楷體" w:hint="eastAsia"/>
          <w:kern w:val="36"/>
        </w:rPr>
        <w:t>預算分配審核與執行原則</w:t>
      </w:r>
      <w:r>
        <w:rPr>
          <w:rFonts w:eastAsia="標楷體" w:hint="eastAsia"/>
          <w:noProof/>
        </w:rPr>
        <w:t>。</w:t>
      </w:r>
    </w:p>
    <w:p w:rsidR="004773E0" w:rsidRDefault="004773E0" w:rsidP="004773E0">
      <w:pPr>
        <w:adjustRightInd w:val="0"/>
        <w:snapToGrid w:val="0"/>
        <w:spacing w:afterLines="50" w:after="180" w:line="300" w:lineRule="exact"/>
        <w:ind w:left="770" w:hangingChars="321" w:hanging="770"/>
        <w:rPr>
          <w:rFonts w:eastAsia="標楷體"/>
          <w:noProof/>
        </w:rPr>
      </w:pPr>
      <w:r>
        <w:rPr>
          <w:rFonts w:eastAsia="標楷體" w:hint="eastAsia"/>
          <w:noProof/>
        </w:rPr>
        <w:t>二、校務基金預算核定審核：</w:t>
      </w:r>
    </w:p>
    <w:p w:rsidR="004773E0" w:rsidRDefault="004773E0" w:rsidP="004773E0">
      <w:pPr>
        <w:numPr>
          <w:ilvl w:val="1"/>
          <w:numId w:val="1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依據國立大學校院校務基金管理及監督辦法，辦理由各項自籌收入經費支應案件，應訂定收入支管理規定，增加之獎補助應指明彌補經費之來源。</w:t>
      </w: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管監辦法</w:t>
      </w:r>
      <w:proofErr w:type="gramEnd"/>
      <w:r>
        <w:rPr>
          <w:rFonts w:eastAsia="標楷體"/>
        </w:rPr>
        <w:t>16</w:t>
      </w:r>
      <w:r>
        <w:rPr>
          <w:rFonts w:eastAsia="標楷體" w:hint="eastAsia"/>
        </w:rPr>
        <w:t>條、設置條例</w:t>
      </w:r>
      <w:r>
        <w:rPr>
          <w:rFonts w:eastAsia="標楷體"/>
        </w:rPr>
        <w:t>13</w:t>
      </w:r>
      <w:r>
        <w:rPr>
          <w:rFonts w:eastAsia="標楷體" w:hint="eastAsia"/>
        </w:rPr>
        <w:t>條</w:t>
      </w:r>
      <w:r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4773E0" w:rsidRDefault="004773E0" w:rsidP="004773E0">
      <w:pPr>
        <w:numPr>
          <w:ilvl w:val="1"/>
          <w:numId w:val="1"/>
        </w:numPr>
        <w:snapToGrid w:val="0"/>
        <w:spacing w:afterLines="20" w:after="72"/>
        <w:ind w:left="993" w:hanging="851"/>
        <w:jc w:val="both"/>
        <w:rPr>
          <w:rFonts w:eastAsia="標楷體"/>
          <w:kern w:val="0"/>
        </w:rPr>
      </w:pPr>
      <w:r>
        <w:rPr>
          <w:rFonts w:eastAsia="標楷體" w:hint="eastAsia"/>
        </w:rPr>
        <w:t>各服務中心以自給自足及有盈餘為目標，並保留一定比率預為購置設備之財源，循求校務基金協助支援時，應相對提出營運償還計畫送校務基金管理委員會審議、報告。</w:t>
      </w:r>
    </w:p>
    <w:p w:rsidR="004773E0" w:rsidRDefault="004773E0" w:rsidP="004773E0">
      <w:pPr>
        <w:numPr>
          <w:ilvl w:val="1"/>
          <w:numId w:val="1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校務基金管理委員會依決議或比率撥付之專案經費，撥付前相關經費管理單位應提出專款專用概算表（如分配各學院重點經費、學生宿舍維持費、校舍、宿舍網路費），陳經核定後，始由主計室撥付並執行。</w:t>
      </w:r>
    </w:p>
    <w:p w:rsidR="004773E0" w:rsidRDefault="004773E0" w:rsidP="004773E0">
      <w:pPr>
        <w:numPr>
          <w:ilvl w:val="1"/>
          <w:numId w:val="1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各單位持續性向同一廠商之採購案，以年度總金額合計採購金額，金額達公告金額十分之一（</w:t>
      </w:r>
      <w:r>
        <w:rPr>
          <w:rFonts w:eastAsia="標楷體"/>
        </w:rPr>
        <w:t>10</w:t>
      </w:r>
      <w:r>
        <w:rPr>
          <w:rFonts w:eastAsia="標楷體" w:hint="eastAsia"/>
        </w:rPr>
        <w:t>萬）元、公告金額（</w:t>
      </w:r>
      <w:r>
        <w:rPr>
          <w:rFonts w:eastAsia="標楷體"/>
        </w:rPr>
        <w:t>100</w:t>
      </w:r>
      <w:r>
        <w:rPr>
          <w:rFonts w:eastAsia="標楷體" w:hint="eastAsia"/>
        </w:rPr>
        <w:t>萬）元以上採購金額，應依政府採購法規定，不得意圖規避而分批辦理：同一設備採購案，不得拆案分批個別採購，請總務處加強稽核。</w:t>
      </w:r>
    </w:p>
    <w:p w:rsidR="004773E0" w:rsidRDefault="004773E0" w:rsidP="004773E0">
      <w:pPr>
        <w:numPr>
          <w:ilvl w:val="1"/>
          <w:numId w:val="1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屬全校性固定資產增置、建設改良擴充、校舍修繕、維護，由總務處營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組統籌規劃</w:t>
      </w:r>
      <w:proofErr w:type="gramStart"/>
      <w:r>
        <w:rPr>
          <w:rFonts w:eastAsia="標楷體" w:hint="eastAsia"/>
        </w:rPr>
        <w:t>循</w:t>
      </w:r>
      <w:proofErr w:type="gramEnd"/>
      <w:r>
        <w:rPr>
          <w:rFonts w:eastAsia="標楷體" w:hint="eastAsia"/>
        </w:rPr>
        <w:t>預算程序編列辦理。</w:t>
      </w:r>
    </w:p>
    <w:p w:rsidR="004773E0" w:rsidRDefault="004773E0" w:rsidP="004773E0">
      <w:pPr>
        <w:numPr>
          <w:ilvl w:val="1"/>
          <w:numId w:val="1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本校校務基金及各項自籌收入之執行，應以有賸餘或維持收支平衡為原則，執行開源與節流情形，納入年度稽核計畫</w:t>
      </w: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管監辦法</w:t>
      </w:r>
      <w:proofErr w:type="gramEnd"/>
      <w:r>
        <w:rPr>
          <w:rFonts w:eastAsia="標楷體" w:hint="eastAsia"/>
        </w:rPr>
        <w:t>第</w:t>
      </w:r>
      <w:r>
        <w:rPr>
          <w:rFonts w:eastAsia="標楷體"/>
        </w:rPr>
        <w:t>23</w:t>
      </w:r>
      <w:r>
        <w:rPr>
          <w:rFonts w:eastAsia="標楷體" w:hint="eastAsia"/>
        </w:rPr>
        <w:t>條、第</w:t>
      </w:r>
      <w:r>
        <w:rPr>
          <w:rFonts w:eastAsia="標楷體"/>
        </w:rPr>
        <w:t>24</w:t>
      </w:r>
      <w:r>
        <w:rPr>
          <w:rFonts w:eastAsia="標楷體" w:hint="eastAsia"/>
        </w:rPr>
        <w:t>條</w:t>
      </w:r>
      <w:r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4773E0" w:rsidRDefault="004773E0" w:rsidP="004773E0">
      <w:pPr>
        <w:numPr>
          <w:ilvl w:val="1"/>
          <w:numId w:val="1"/>
        </w:numPr>
        <w:snapToGrid w:val="0"/>
        <w:spacing w:afterLines="50" w:after="180" w:line="300" w:lineRule="exact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本校一切</w:t>
      </w:r>
      <w:proofErr w:type="gramStart"/>
      <w:r>
        <w:rPr>
          <w:rFonts w:eastAsia="標楷體" w:hint="eastAsia"/>
        </w:rPr>
        <w:t>收支均應納入</w:t>
      </w:r>
      <w:proofErr w:type="gramEnd"/>
      <w:r>
        <w:rPr>
          <w:rFonts w:eastAsia="標楷體" w:hint="eastAsia"/>
        </w:rPr>
        <w:t>校務基金，依法處理</w:t>
      </w:r>
      <w:r>
        <w:rPr>
          <w:rFonts w:eastAsia="標楷體"/>
        </w:rPr>
        <w:t>(</w:t>
      </w:r>
      <w:r>
        <w:rPr>
          <w:rFonts w:eastAsia="標楷體" w:hint="eastAsia"/>
        </w:rPr>
        <w:t>設置條例第</w:t>
      </w:r>
      <w:r>
        <w:rPr>
          <w:rFonts w:eastAsia="標楷體"/>
        </w:rPr>
        <w:t>9</w:t>
      </w:r>
      <w:r>
        <w:rPr>
          <w:rFonts w:eastAsia="標楷體" w:hint="eastAsia"/>
        </w:rPr>
        <w:t>條</w:t>
      </w:r>
      <w:r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4773E0" w:rsidRDefault="004773E0" w:rsidP="004773E0">
      <w:pPr>
        <w:snapToGrid w:val="0"/>
        <w:spacing w:afterLines="50" w:after="180" w:line="300" w:lineRule="exact"/>
        <w:ind w:left="1094" w:hanging="1094"/>
        <w:jc w:val="both"/>
        <w:rPr>
          <w:rFonts w:eastAsia="標楷體"/>
          <w:noProof/>
        </w:rPr>
      </w:pPr>
      <w:r>
        <w:rPr>
          <w:rFonts w:eastAsia="標楷體" w:hint="eastAsia"/>
        </w:rPr>
        <w:t>三、</w:t>
      </w:r>
      <w:r>
        <w:rPr>
          <w:rFonts w:eastAsia="標楷體" w:hint="eastAsia"/>
          <w:noProof/>
        </w:rPr>
        <w:t>校務基金預算執行：</w:t>
      </w:r>
    </w:p>
    <w:p w:rsidR="004773E0" w:rsidRDefault="004773E0" w:rsidP="004773E0">
      <w:pPr>
        <w:numPr>
          <w:ilvl w:val="0"/>
          <w:numId w:val="2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分配各行政單位、學院、系所經常費（用人費、業務費），應先</w:t>
      </w:r>
      <w:proofErr w:type="gramStart"/>
      <w:r>
        <w:rPr>
          <w:rFonts w:eastAsia="標楷體" w:hint="eastAsia"/>
        </w:rPr>
        <w:t>請控留</w:t>
      </w:r>
      <w:proofErr w:type="gramEnd"/>
      <w:r>
        <w:rPr>
          <w:rFonts w:eastAsia="標楷體" w:hint="eastAsia"/>
        </w:rPr>
        <w:t>必要固定費用支出（如設備維護合約等）並於分配額度內審慎管控執行。</w:t>
      </w:r>
    </w:p>
    <w:p w:rsidR="004773E0" w:rsidRDefault="004773E0" w:rsidP="004773E0">
      <w:pPr>
        <w:numPr>
          <w:ilvl w:val="0"/>
          <w:numId w:val="2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依據行政院主計總</w:t>
      </w:r>
      <w:proofErr w:type="gramStart"/>
      <w:r>
        <w:rPr>
          <w:rFonts w:eastAsia="標楷體" w:hint="eastAsia"/>
        </w:rPr>
        <w:t>處頒「</w:t>
      </w:r>
      <w:proofErr w:type="gramEnd"/>
      <w:r>
        <w:rPr>
          <w:rFonts w:eastAsia="標楷體" w:hint="eastAsia"/>
        </w:rPr>
        <w:t>各機關設置及應用電腦管理要點」規定，各單位由校務基金經費來源辦理電腦硬、軟體之採購、租賃及外包事宜，請電算中心協助會核，在預算內總數控管，以避免資源重複購置、裨益管理、表報統計。</w:t>
      </w:r>
    </w:p>
    <w:p w:rsidR="004773E0" w:rsidRDefault="004773E0" w:rsidP="004773E0">
      <w:pPr>
        <w:numPr>
          <w:ilvl w:val="0"/>
          <w:numId w:val="2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各單位非辦公事務設備，請各單位設法集中管理共同使用以物盡其用，確因業務需要新增購時，亦請各單位嚴</w:t>
      </w:r>
      <w:proofErr w:type="gramStart"/>
      <w:r>
        <w:rPr>
          <w:rFonts w:eastAsia="標楷體" w:hint="eastAsia"/>
        </w:rPr>
        <w:t>予審</w:t>
      </w:r>
      <w:proofErr w:type="gramEnd"/>
      <w:r>
        <w:rPr>
          <w:rFonts w:eastAsia="標楷體" w:hint="eastAsia"/>
        </w:rPr>
        <w:t>視辦理，如影印機、咖啡機、相（數位）機、手持行動設備（手機）等，購置仍應事先簽准後辦理。</w:t>
      </w:r>
    </w:p>
    <w:p w:rsidR="004773E0" w:rsidRDefault="004773E0" w:rsidP="004773E0">
      <w:pPr>
        <w:numPr>
          <w:ilvl w:val="0"/>
          <w:numId w:val="2"/>
        </w:numPr>
        <w:snapToGrid w:val="0"/>
        <w:spacing w:afterLines="20" w:after="72"/>
        <w:ind w:left="993" w:hanging="851"/>
        <w:jc w:val="both"/>
        <w:rPr>
          <w:rFonts w:eastAsia="標楷體"/>
        </w:rPr>
      </w:pPr>
      <w:r>
        <w:rPr>
          <w:rFonts w:eastAsia="標楷體" w:hint="eastAsia"/>
        </w:rPr>
        <w:t>依「內部審核處理準則」第</w:t>
      </w:r>
      <w:r>
        <w:rPr>
          <w:rFonts w:eastAsia="標楷體"/>
        </w:rPr>
        <w:t>21</w:t>
      </w:r>
      <w:r>
        <w:rPr>
          <w:rFonts w:eastAsia="標楷體" w:hint="eastAsia"/>
        </w:rPr>
        <w:t>條第</w:t>
      </w:r>
      <w:r>
        <w:rPr>
          <w:rFonts w:eastAsia="標楷體"/>
        </w:rPr>
        <w:t>10</w:t>
      </w:r>
      <w:r>
        <w:rPr>
          <w:rFonts w:eastAsia="標楷體" w:hint="eastAsia"/>
        </w:rPr>
        <w:t>款後段規定，零用金以外之支付方式，以直接匯入受款人之金融機構、儲</w:t>
      </w:r>
      <w:proofErr w:type="gramStart"/>
      <w:r>
        <w:rPr>
          <w:rFonts w:eastAsia="標楷體" w:hint="eastAsia"/>
        </w:rPr>
        <w:t>匯</w:t>
      </w:r>
      <w:proofErr w:type="gramEnd"/>
      <w:r>
        <w:rPr>
          <w:rFonts w:eastAsia="標楷體" w:hint="eastAsia"/>
        </w:rPr>
        <w:t>機構存款帳戶為原則。</w:t>
      </w:r>
      <w:r>
        <w:rPr>
          <w:rFonts w:eastAsia="標楷體"/>
        </w:rPr>
        <w:br/>
      </w:r>
      <w:r>
        <w:rPr>
          <w:rFonts w:eastAsia="標楷體" w:hint="eastAsia"/>
        </w:rPr>
        <w:t>（除零用金限額以下之小額付款得由編制內人員或行政助理墊付外，其餘均應</w:t>
      </w:r>
      <w:proofErr w:type="gramStart"/>
      <w:r>
        <w:rPr>
          <w:rFonts w:eastAsia="標楷體" w:hint="eastAsia"/>
        </w:rPr>
        <w:t>逕付受</w:t>
      </w:r>
      <w:proofErr w:type="gramEnd"/>
      <w:r>
        <w:rPr>
          <w:rFonts w:eastAsia="標楷體" w:hint="eastAsia"/>
        </w:rPr>
        <w:t>款人，不得由計畫主持人或機關人員代領轉付）。</w:t>
      </w:r>
    </w:p>
    <w:p w:rsidR="004773E0" w:rsidRPr="004E384F" w:rsidRDefault="004773E0" w:rsidP="004773E0">
      <w:pPr>
        <w:numPr>
          <w:ilvl w:val="0"/>
          <w:numId w:val="2"/>
        </w:numPr>
        <w:snapToGrid w:val="0"/>
        <w:spacing w:afterLines="20" w:after="72"/>
        <w:ind w:left="993" w:hanging="851"/>
        <w:jc w:val="both"/>
        <w:rPr>
          <w:rFonts w:eastAsia="標楷體"/>
          <w:color w:val="C00000"/>
        </w:rPr>
      </w:pPr>
      <w:r w:rsidRPr="004E384F">
        <w:rPr>
          <w:rFonts w:eastAsia="標楷體" w:hint="eastAsia"/>
          <w:color w:val="C00000"/>
        </w:rPr>
        <w:t>為有效控管資本支出計畫執行率，核定各單位資本門預算執行數，截止</w:t>
      </w:r>
      <w:r w:rsidRPr="004E384F">
        <w:rPr>
          <w:rFonts w:eastAsia="標楷體"/>
          <w:color w:val="C00000"/>
        </w:rPr>
        <w:t>8</w:t>
      </w:r>
      <w:r w:rsidRPr="004E384F">
        <w:rPr>
          <w:rFonts w:eastAsia="標楷體" w:hint="eastAsia"/>
          <w:color w:val="C00000"/>
        </w:rPr>
        <w:t>月底前未送主計室完成｢已審｣階段之單位，其未審之預算額度由學校收回統籌再分配。</w:t>
      </w:r>
    </w:p>
    <w:p w:rsidR="004773E0" w:rsidRDefault="004773E0" w:rsidP="004773E0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>四、本原則經校務基金管理委員會審議通過，簽請校長核訂後實施，修正時亦同。</w:t>
      </w:r>
    </w:p>
    <w:p w:rsidR="004773E0" w:rsidRPr="004773E0" w:rsidRDefault="004773E0">
      <w:bookmarkStart w:id="0" w:name="_GoBack"/>
      <w:bookmarkEnd w:id="0"/>
    </w:p>
    <w:sectPr w:rsidR="004773E0" w:rsidRPr="004773E0" w:rsidSect="004773E0">
      <w:pgSz w:w="11906" w:h="16838"/>
      <w:pgMar w:top="1440" w:right="1133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39" w:rsidRDefault="007B4D39" w:rsidP="004E384F">
      <w:r>
        <w:separator/>
      </w:r>
    </w:p>
  </w:endnote>
  <w:endnote w:type="continuationSeparator" w:id="0">
    <w:p w:rsidR="007B4D39" w:rsidRDefault="007B4D39" w:rsidP="004E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39" w:rsidRDefault="007B4D39" w:rsidP="004E384F">
      <w:r>
        <w:separator/>
      </w:r>
    </w:p>
  </w:footnote>
  <w:footnote w:type="continuationSeparator" w:id="0">
    <w:p w:rsidR="007B4D39" w:rsidRDefault="007B4D39" w:rsidP="004E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74CC"/>
    <w:multiLevelType w:val="hybridMultilevel"/>
    <w:tmpl w:val="8F6A6D86"/>
    <w:lvl w:ilvl="0" w:tplc="F32C6CB8">
      <w:start w:val="1"/>
      <w:numFmt w:val="taiwaneseCountingThousand"/>
      <w:lvlText w:val="（%1）"/>
      <w:lvlJc w:val="left"/>
      <w:pPr>
        <w:ind w:left="764" w:hanging="480"/>
      </w:pPr>
    </w:lvl>
    <w:lvl w:ilvl="1" w:tplc="F32C6CB8">
      <w:start w:val="1"/>
      <w:numFmt w:val="taiwaneseCountingThousand"/>
      <w:lvlText w:val="（%2）"/>
      <w:lvlJc w:val="left"/>
      <w:pPr>
        <w:ind w:left="622" w:hanging="480"/>
      </w:pPr>
    </w:lvl>
    <w:lvl w:ilvl="2" w:tplc="1B2A9A96">
      <w:start w:val="1"/>
      <w:numFmt w:val="taiwaneseCountingThousand"/>
      <w:lvlText w:val="%3、"/>
      <w:lvlJc w:val="lef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617879CD"/>
    <w:multiLevelType w:val="hybridMultilevel"/>
    <w:tmpl w:val="264EC64E"/>
    <w:lvl w:ilvl="0" w:tplc="F32C6CB8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-742" w:hanging="480"/>
      </w:pPr>
    </w:lvl>
    <w:lvl w:ilvl="2" w:tplc="0409001B">
      <w:start w:val="1"/>
      <w:numFmt w:val="lowerRoman"/>
      <w:lvlText w:val="%3."/>
      <w:lvlJc w:val="right"/>
      <w:pPr>
        <w:ind w:left="-262" w:hanging="480"/>
      </w:pPr>
    </w:lvl>
    <w:lvl w:ilvl="3" w:tplc="0409000F">
      <w:start w:val="1"/>
      <w:numFmt w:val="decimal"/>
      <w:lvlText w:val="%4."/>
      <w:lvlJc w:val="left"/>
      <w:pPr>
        <w:ind w:left="218" w:hanging="480"/>
      </w:pPr>
    </w:lvl>
    <w:lvl w:ilvl="4" w:tplc="04090019">
      <w:start w:val="1"/>
      <w:numFmt w:val="ideographTraditional"/>
      <w:lvlText w:val="%5、"/>
      <w:lvlJc w:val="left"/>
      <w:pPr>
        <w:ind w:left="698" w:hanging="480"/>
      </w:pPr>
    </w:lvl>
    <w:lvl w:ilvl="5" w:tplc="0409001B">
      <w:start w:val="1"/>
      <w:numFmt w:val="lowerRoman"/>
      <w:lvlText w:val="%6."/>
      <w:lvlJc w:val="right"/>
      <w:pPr>
        <w:ind w:left="1178" w:hanging="480"/>
      </w:pPr>
    </w:lvl>
    <w:lvl w:ilvl="6" w:tplc="0409000F">
      <w:start w:val="1"/>
      <w:numFmt w:val="decimal"/>
      <w:lvlText w:val="%7."/>
      <w:lvlJc w:val="left"/>
      <w:pPr>
        <w:ind w:left="1658" w:hanging="480"/>
      </w:pPr>
    </w:lvl>
    <w:lvl w:ilvl="7" w:tplc="04090019">
      <w:start w:val="1"/>
      <w:numFmt w:val="ideographTraditional"/>
      <w:lvlText w:val="%8、"/>
      <w:lvlJc w:val="left"/>
      <w:pPr>
        <w:ind w:left="2138" w:hanging="480"/>
      </w:pPr>
    </w:lvl>
    <w:lvl w:ilvl="8" w:tplc="0409001B">
      <w:start w:val="1"/>
      <w:numFmt w:val="lowerRoman"/>
      <w:lvlText w:val="%9."/>
      <w:lvlJc w:val="right"/>
      <w:pPr>
        <w:ind w:left="261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E0"/>
    <w:rsid w:val="004773E0"/>
    <w:rsid w:val="004E384F"/>
    <w:rsid w:val="005C1B63"/>
    <w:rsid w:val="007B4D39"/>
    <w:rsid w:val="009A2EF3"/>
    <w:rsid w:val="00B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8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8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38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8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Company>NPUST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羽妍 李</dc:creator>
  <cp:lastModifiedBy>主計室黃卉宇</cp:lastModifiedBy>
  <cp:revision>3</cp:revision>
  <dcterms:created xsi:type="dcterms:W3CDTF">2018-06-07T01:31:00Z</dcterms:created>
  <dcterms:modified xsi:type="dcterms:W3CDTF">2018-08-08T08:50:00Z</dcterms:modified>
</cp:coreProperties>
</file>